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6F09F3" w:rsidRDefault="00D3170D" w:rsidP="00C103B3">
      <w:pPr>
        <w:pStyle w:val="Textbody"/>
        <w:rPr>
          <w:color w:val="000000"/>
          <w:sz w:val="24"/>
          <w:szCs w:val="24"/>
        </w:rPr>
      </w:pPr>
      <w:bookmarkStart w:id="0" w:name="_GoBack"/>
      <w:bookmarkEnd w:id="0"/>
    </w:p>
    <w:p w14:paraId="325F74C7" w14:textId="5C9CBDCC" w:rsidR="003726A3" w:rsidRDefault="00A91944" w:rsidP="00026C3F">
      <w:pPr>
        <w:ind w:firstLine="720"/>
        <w:jc w:val="both"/>
        <w:rPr>
          <w:b/>
        </w:rPr>
      </w:pPr>
      <w:r w:rsidRPr="006F09F3">
        <w:rPr>
          <w:b/>
          <w:bCs/>
          <w:color w:val="000000"/>
        </w:rPr>
        <w:t xml:space="preserve">Извещение о проведении аукциона в электронной форме на право заключения договора аренды земельного участка, </w:t>
      </w:r>
      <w:r w:rsidR="003258C8" w:rsidRPr="003258C8">
        <w:rPr>
          <w:b/>
        </w:rPr>
        <w:t>находящегося в государственной собственности до разграничения</w:t>
      </w:r>
    </w:p>
    <w:p w14:paraId="042A22E4" w14:textId="77777777" w:rsidR="00026C3F" w:rsidRPr="00026C3F" w:rsidRDefault="00026C3F" w:rsidP="00026C3F">
      <w:pPr>
        <w:ind w:firstLine="720"/>
        <w:jc w:val="both"/>
        <w:rPr>
          <w:b/>
        </w:rPr>
      </w:pPr>
    </w:p>
    <w:p w14:paraId="29695C03" w14:textId="3AE8EF36" w:rsidR="00A91944" w:rsidRPr="006F09F3" w:rsidRDefault="001903DD" w:rsidP="00552EEC">
      <w:pPr>
        <w:ind w:firstLine="720"/>
        <w:jc w:val="both"/>
        <w:rPr>
          <w:b/>
        </w:rPr>
      </w:pPr>
      <w:r w:rsidRPr="006F09F3">
        <w:rPr>
          <w:b/>
        </w:rPr>
        <w:t xml:space="preserve">  </w:t>
      </w:r>
      <w:r w:rsidR="003F2646">
        <w:rPr>
          <w:b/>
        </w:rPr>
        <w:t>22 апреля</w:t>
      </w:r>
      <w:r w:rsidR="007D111F" w:rsidRPr="006F09F3">
        <w:rPr>
          <w:b/>
        </w:rPr>
        <w:t xml:space="preserve"> </w:t>
      </w:r>
      <w:r w:rsidR="00B41AAA" w:rsidRPr="006F09F3">
        <w:rPr>
          <w:b/>
        </w:rPr>
        <w:t>202</w:t>
      </w:r>
      <w:r w:rsidR="00E80C26">
        <w:rPr>
          <w:b/>
        </w:rPr>
        <w:t>6</w:t>
      </w:r>
      <w:r w:rsidR="00A91944" w:rsidRPr="006F09F3">
        <w:rPr>
          <w:b/>
        </w:rPr>
        <w:t xml:space="preserve"> года</w:t>
      </w:r>
      <w:r w:rsidR="00A91944" w:rsidRPr="006F09F3">
        <w:t xml:space="preserve"> в </w:t>
      </w:r>
      <w:r w:rsidR="00A91944" w:rsidRPr="006F09F3">
        <w:rPr>
          <w:b/>
        </w:rPr>
        <w:t>09</w:t>
      </w:r>
      <w:r w:rsidR="00A91944" w:rsidRPr="006F09F3">
        <w:t xml:space="preserve"> часов </w:t>
      </w:r>
      <w:r w:rsidR="00A91944" w:rsidRPr="006F09F3">
        <w:rPr>
          <w:b/>
        </w:rPr>
        <w:t>00</w:t>
      </w:r>
      <w:r w:rsidR="00A91944" w:rsidRPr="006F09F3">
        <w:t xml:space="preserve"> минут на электронной площадке  www.rts-tender.ru   состоится </w:t>
      </w:r>
      <w:r w:rsidR="00A91944" w:rsidRPr="006F09F3">
        <w:rPr>
          <w:b/>
        </w:rPr>
        <w:t xml:space="preserve">аукцион на право заключения договора аренды земельного участка, </w:t>
      </w:r>
      <w:r w:rsidR="00552EEC" w:rsidRPr="003258C8">
        <w:rPr>
          <w:b/>
        </w:rPr>
        <w:t>находящегося в государственной собственности до разграничения</w:t>
      </w:r>
    </w:p>
    <w:p w14:paraId="49FBA419" w14:textId="08939DA3" w:rsidR="00A91944" w:rsidRPr="006F09F3" w:rsidRDefault="00563854" w:rsidP="00C103B3">
      <w:pPr>
        <w:pStyle w:val="Standard"/>
        <w:ind w:right="-145"/>
      </w:pPr>
      <w:r w:rsidRPr="006F09F3">
        <w:t xml:space="preserve">  </w:t>
      </w:r>
      <w:r w:rsidR="00A91944" w:rsidRPr="006F09F3">
        <w:t xml:space="preserve"> </w:t>
      </w:r>
      <w:r w:rsidR="004A1BFA" w:rsidRPr="006F09F3">
        <w:t xml:space="preserve"> </w:t>
      </w:r>
      <w:r w:rsidR="00A91944" w:rsidRPr="006F09F3">
        <w:t>Уполномоченный орган — администрация гор</w:t>
      </w:r>
      <w:r w:rsidRPr="006F09F3">
        <w:t xml:space="preserve">одского округа город Арзамас </w:t>
      </w:r>
      <w:r w:rsidR="00A91944" w:rsidRPr="006F09F3">
        <w:t>Нижегородской области.</w:t>
      </w:r>
    </w:p>
    <w:p w14:paraId="55D33816" w14:textId="68110CD0" w:rsidR="00A91944" w:rsidRPr="006F09F3" w:rsidRDefault="004A1BFA" w:rsidP="00C103B3">
      <w:pPr>
        <w:pStyle w:val="Standard"/>
        <w:overflowPunct w:val="0"/>
        <w:jc w:val="both"/>
      </w:pPr>
      <w:r w:rsidRPr="006F09F3">
        <w:rPr>
          <w:color w:val="000000"/>
        </w:rPr>
        <w:t xml:space="preserve">    </w:t>
      </w:r>
      <w:r w:rsidR="00A91944" w:rsidRPr="006F09F3">
        <w:rPr>
          <w:color w:val="000000"/>
        </w:rPr>
        <w:t>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6F09F3">
        <w:rPr>
          <w:color w:val="000000"/>
        </w:rPr>
        <w:t xml:space="preserve"> </w:t>
      </w:r>
      <w:r w:rsidR="00D30881" w:rsidRPr="006F09F3">
        <w:rPr>
          <w:color w:val="000000"/>
        </w:rPr>
        <w:t>а</w:t>
      </w:r>
      <w:r w:rsidR="00D355C7" w:rsidRPr="006F09F3">
        <w:rPr>
          <w:color w:val="000000"/>
        </w:rPr>
        <w:t>rz-kio@arz.n</w:t>
      </w:r>
      <w:r w:rsidR="00D355C7" w:rsidRPr="006F09F3">
        <w:rPr>
          <w:color w:val="000000"/>
          <w:lang w:val="en-US"/>
        </w:rPr>
        <w:t>obl</w:t>
      </w:r>
      <w:r w:rsidR="00A91944" w:rsidRPr="006F09F3">
        <w:rPr>
          <w:color w:val="000000"/>
        </w:rPr>
        <w:t>.ru  Телефон: 8(83147)-78-7-25</w:t>
      </w:r>
      <w:r w:rsidR="00E847D6" w:rsidRPr="006F09F3">
        <w:rPr>
          <w:color w:val="000000"/>
        </w:rPr>
        <w:t>. Контактное лицо: Маслова Елена Васильевна</w:t>
      </w:r>
    </w:p>
    <w:p w14:paraId="2C150531" w14:textId="2234EB84" w:rsidR="00E80C26" w:rsidRDefault="007C42BA" w:rsidP="00026C3F">
      <w:pPr>
        <w:pStyle w:val="Standard"/>
        <w:overflowPunct w:val="0"/>
        <w:jc w:val="both"/>
        <w:rPr>
          <w:color w:val="000000"/>
        </w:rPr>
      </w:pPr>
      <w:r w:rsidRPr="006F09F3">
        <w:rPr>
          <w:color w:val="000000"/>
        </w:rPr>
        <w:t xml:space="preserve"> </w:t>
      </w:r>
      <w:r w:rsidR="00A91944" w:rsidRPr="006F09F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6F09F3">
        <w:rPr>
          <w:color w:val="000000"/>
        </w:rPr>
        <w:t>r.ru Адрес электронной почты: i</w:t>
      </w:r>
      <w:r w:rsidR="0027475E" w:rsidRPr="006F09F3">
        <w:rPr>
          <w:color w:val="000000"/>
          <w:lang w:val="en-US"/>
        </w:rPr>
        <w:t>s</w:t>
      </w:r>
      <w:r w:rsidR="00A91944" w:rsidRPr="006F09F3">
        <w:rPr>
          <w:color w:val="000000"/>
        </w:rPr>
        <w:t>upport@rts-tender.ru Телеф</w:t>
      </w:r>
      <w:r w:rsidR="00240E95" w:rsidRPr="006F09F3">
        <w:rPr>
          <w:color w:val="000000"/>
        </w:rPr>
        <w:t>о</w:t>
      </w:r>
      <w:r w:rsidR="0027475E" w:rsidRPr="006F09F3">
        <w:rPr>
          <w:color w:val="000000"/>
        </w:rPr>
        <w:t xml:space="preserve">н: +7 </w:t>
      </w:r>
      <w:r w:rsidR="00240E95" w:rsidRPr="006F09F3">
        <w:rPr>
          <w:color w:val="000000"/>
        </w:rPr>
        <w:t xml:space="preserve"> 499-653-77-00</w:t>
      </w:r>
    </w:p>
    <w:p w14:paraId="633BDA34" w14:textId="77777777" w:rsidR="00E80C26" w:rsidRDefault="00E80C26" w:rsidP="00026C3F">
      <w:pPr>
        <w:pStyle w:val="Standard"/>
        <w:overflowPunct w:val="0"/>
        <w:jc w:val="both"/>
        <w:rPr>
          <w:color w:val="000000"/>
        </w:rPr>
      </w:pPr>
    </w:p>
    <w:p w14:paraId="0A2EE006" w14:textId="77777777" w:rsidR="00E80C26" w:rsidRDefault="00E80C26" w:rsidP="00026C3F">
      <w:pPr>
        <w:pStyle w:val="Standard"/>
        <w:overflowPunct w:val="0"/>
        <w:jc w:val="both"/>
        <w:rPr>
          <w:color w:val="000000"/>
        </w:rPr>
      </w:pPr>
    </w:p>
    <w:p w14:paraId="43550592" w14:textId="77777777" w:rsidR="00E80C26" w:rsidRPr="00E80C26" w:rsidRDefault="00E80C26" w:rsidP="00026C3F">
      <w:pPr>
        <w:pStyle w:val="Standard"/>
        <w:overflowPunct w:val="0"/>
        <w:jc w:val="both"/>
        <w:rPr>
          <w:color w:val="000000"/>
        </w:rPr>
      </w:pP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6F09F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6F09F3" w:rsidRDefault="00A91944" w:rsidP="00C103B3">
            <w:pPr>
              <w:pStyle w:val="Textbody"/>
              <w:ind w:right="-70"/>
              <w:rPr>
                <w:b/>
                <w:color w:val="000000"/>
                <w:sz w:val="24"/>
                <w:szCs w:val="24"/>
              </w:rPr>
            </w:pPr>
            <w:r w:rsidRPr="006F09F3">
              <w:rPr>
                <w:b/>
                <w:color w:val="000000"/>
                <w:sz w:val="24"/>
                <w:szCs w:val="24"/>
              </w:rPr>
              <w:t>№</w:t>
            </w:r>
          </w:p>
          <w:p w14:paraId="7EC9AC6B" w14:textId="77777777" w:rsidR="00A91944" w:rsidRPr="006F09F3" w:rsidRDefault="00A91944" w:rsidP="00C103B3">
            <w:pPr>
              <w:pStyle w:val="Textbody"/>
              <w:ind w:right="-70"/>
              <w:rPr>
                <w:b/>
                <w:color w:val="000000"/>
                <w:sz w:val="24"/>
                <w:szCs w:val="24"/>
              </w:rPr>
            </w:pPr>
            <w:r w:rsidRPr="006F09F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6F09F3" w:rsidRDefault="00A91944" w:rsidP="00C103B3">
            <w:pPr>
              <w:pStyle w:val="Textbody"/>
              <w:ind w:right="-70"/>
              <w:jc w:val="left"/>
              <w:rPr>
                <w:b/>
                <w:color w:val="000000"/>
                <w:sz w:val="24"/>
                <w:szCs w:val="24"/>
              </w:rPr>
            </w:pPr>
            <w:r w:rsidRPr="006F09F3">
              <w:rPr>
                <w:b/>
                <w:color w:val="000000"/>
                <w:sz w:val="24"/>
                <w:szCs w:val="24"/>
              </w:rPr>
              <w:t xml:space="preserve">Описание  </w:t>
            </w:r>
          </w:p>
        </w:tc>
      </w:tr>
      <w:tr w:rsidR="00A91944" w:rsidRPr="006F09F3" w14:paraId="67E75595" w14:textId="77777777" w:rsidTr="00E80C26">
        <w:trPr>
          <w:trHeight w:val="1124"/>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F09F3" w:rsidRDefault="00A91944" w:rsidP="00C103B3">
            <w:pPr>
              <w:pStyle w:val="Textbody"/>
              <w:ind w:right="-70"/>
              <w:rPr>
                <w:sz w:val="24"/>
                <w:szCs w:val="24"/>
              </w:rPr>
            </w:pPr>
            <w:r w:rsidRPr="006F09F3">
              <w:rPr>
                <w:color w:val="000000"/>
                <w:sz w:val="24"/>
                <w:szCs w:val="24"/>
                <w:lang w:val="en-US"/>
              </w:rPr>
              <w:t>1</w:t>
            </w:r>
            <w:r w:rsidRPr="006F09F3">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6E5ADEBB" w14:textId="2BBB57E1" w:rsidR="00F53C47" w:rsidRPr="006F09F3" w:rsidRDefault="00F53C47" w:rsidP="00552EEC">
            <w:pPr>
              <w:jc w:val="both"/>
            </w:pPr>
            <w:r w:rsidRPr="006F09F3">
              <w:rPr>
                <w:b/>
              </w:rPr>
              <w:t>Предмет аукциона:</w:t>
            </w:r>
            <w:r w:rsidRPr="006F09F3">
              <w:t xml:space="preserve"> право заключения договора аренды земельного участка, находящегося </w:t>
            </w:r>
            <w:r w:rsidR="00552EEC" w:rsidRPr="003258C8">
              <w:t>в государственной собственности до разграничения</w:t>
            </w:r>
          </w:p>
          <w:p w14:paraId="2F1FAE89" w14:textId="5265F728" w:rsidR="00F53C47" w:rsidRPr="006F09F3" w:rsidRDefault="00F53C47" w:rsidP="00F53C47">
            <w:pPr>
              <w:pStyle w:val="a6"/>
              <w:jc w:val="both"/>
              <w:rPr>
                <w:sz w:val="24"/>
                <w:szCs w:val="24"/>
              </w:rPr>
            </w:pPr>
            <w:r w:rsidRPr="006F09F3">
              <w:rPr>
                <w:b/>
                <w:sz w:val="24"/>
                <w:szCs w:val="24"/>
              </w:rPr>
              <w:t>Местоположение земельного участка:</w:t>
            </w:r>
            <w:r w:rsidRPr="006F09F3">
              <w:rPr>
                <w:sz w:val="24"/>
                <w:szCs w:val="24"/>
              </w:rPr>
              <w:t xml:space="preserve"> </w:t>
            </w:r>
            <w:r w:rsidR="00E80C26" w:rsidRPr="00E80C26">
              <w:rPr>
                <w:kern w:val="0"/>
                <w:sz w:val="24"/>
                <w:szCs w:val="24"/>
              </w:rPr>
              <w:t>Нижегородская область, Арзамасский район, севернее д. Кокаревка</w:t>
            </w:r>
            <w:r w:rsidR="004C74BF">
              <w:rPr>
                <w:kern w:val="0"/>
                <w:sz w:val="24"/>
                <w:szCs w:val="24"/>
              </w:rPr>
              <w:t>,</w:t>
            </w:r>
            <w:r w:rsidR="003C5E9B" w:rsidRPr="003C5E9B">
              <w:rPr>
                <w:kern w:val="0"/>
                <w:sz w:val="24"/>
                <w:szCs w:val="24"/>
              </w:rPr>
              <w:t xml:space="preserve"> </w:t>
            </w:r>
            <w:r w:rsidR="00581DA2" w:rsidRPr="00581DA2">
              <w:rPr>
                <w:kern w:val="0"/>
                <w:sz w:val="24"/>
                <w:szCs w:val="24"/>
              </w:rPr>
              <w:t xml:space="preserve">вид разрешенного использования: </w:t>
            </w:r>
            <w:r w:rsidR="00E80C26" w:rsidRPr="00E80C26">
              <w:rPr>
                <w:kern w:val="0"/>
                <w:sz w:val="24"/>
                <w:szCs w:val="24"/>
              </w:rPr>
              <w:t>сельскохозяйственное использование, категория земель: земли се</w:t>
            </w:r>
            <w:r w:rsidR="00E80C26">
              <w:rPr>
                <w:kern w:val="0"/>
                <w:sz w:val="24"/>
                <w:szCs w:val="24"/>
              </w:rPr>
              <w:t>льскохозяйственного назначения</w:t>
            </w:r>
            <w:r w:rsidR="00581DA2">
              <w:rPr>
                <w:kern w:val="0"/>
                <w:sz w:val="24"/>
                <w:szCs w:val="24"/>
              </w:rPr>
              <w:t xml:space="preserve">. </w:t>
            </w:r>
            <w:r w:rsidRPr="006F09F3">
              <w:rPr>
                <w:sz w:val="24"/>
                <w:szCs w:val="24"/>
              </w:rPr>
              <w:t xml:space="preserve">Кадастровый номер:  </w:t>
            </w:r>
            <w:r w:rsidR="00E80C26" w:rsidRPr="00E80C26">
              <w:rPr>
                <w:sz w:val="24"/>
                <w:szCs w:val="24"/>
              </w:rPr>
              <w:t>52:41:0702002:172</w:t>
            </w:r>
            <w:r w:rsidRPr="006F09F3">
              <w:rPr>
                <w:sz w:val="24"/>
                <w:szCs w:val="24"/>
              </w:rPr>
              <w:t xml:space="preserve">. </w:t>
            </w:r>
            <w:r w:rsidRPr="006F09F3">
              <w:rPr>
                <w:b/>
                <w:sz w:val="24"/>
                <w:szCs w:val="24"/>
              </w:rPr>
              <w:t>Площадь земельного участка:</w:t>
            </w:r>
            <w:r w:rsidR="003C5E9B">
              <w:rPr>
                <w:sz w:val="24"/>
                <w:szCs w:val="24"/>
              </w:rPr>
              <w:t xml:space="preserve"> </w:t>
            </w:r>
            <w:r w:rsidRPr="006F09F3">
              <w:rPr>
                <w:sz w:val="24"/>
                <w:szCs w:val="24"/>
              </w:rPr>
              <w:t xml:space="preserve"> </w:t>
            </w:r>
            <w:r w:rsidR="00E80C26" w:rsidRPr="00E80C26">
              <w:rPr>
                <w:sz w:val="24"/>
                <w:szCs w:val="24"/>
              </w:rPr>
              <w:t>1248025</w:t>
            </w:r>
            <w:r w:rsidR="003C5E9B">
              <w:rPr>
                <w:sz w:val="24"/>
                <w:szCs w:val="24"/>
              </w:rPr>
              <w:t xml:space="preserve"> </w:t>
            </w:r>
            <w:r w:rsidRPr="006F09F3">
              <w:rPr>
                <w:sz w:val="24"/>
                <w:szCs w:val="24"/>
              </w:rPr>
              <w:t xml:space="preserve"> кв.м.</w:t>
            </w:r>
          </w:p>
          <w:p w14:paraId="6D778852" w14:textId="77777777" w:rsidR="00F53C47" w:rsidRPr="006F09F3" w:rsidRDefault="00F53C47" w:rsidP="00F53C47">
            <w:pPr>
              <w:pStyle w:val="a6"/>
              <w:jc w:val="both"/>
              <w:rPr>
                <w:sz w:val="24"/>
                <w:szCs w:val="24"/>
              </w:rPr>
            </w:pPr>
            <w:r w:rsidRPr="006F09F3">
              <w:rPr>
                <w:b/>
                <w:sz w:val="24"/>
                <w:szCs w:val="24"/>
              </w:rPr>
              <w:t>Вид приобретаемого права:</w:t>
            </w:r>
            <w:r w:rsidRPr="006F09F3">
              <w:rPr>
                <w:sz w:val="24"/>
                <w:szCs w:val="24"/>
              </w:rPr>
              <w:t xml:space="preserve"> аренда сроком на 49 лет </w:t>
            </w:r>
          </w:p>
          <w:p w14:paraId="12A0F8A0" w14:textId="0AB33D46" w:rsidR="004C74BF" w:rsidRDefault="00F53C47" w:rsidP="00096405">
            <w:pPr>
              <w:pStyle w:val="a6"/>
              <w:jc w:val="both"/>
              <w:rPr>
                <w:kern w:val="0"/>
                <w:sz w:val="24"/>
                <w:szCs w:val="24"/>
              </w:rPr>
            </w:pPr>
            <w:r w:rsidRPr="006F09F3">
              <w:rPr>
                <w:b/>
              </w:rPr>
              <w:t>Реквизиты решения о проведении аукциона:</w:t>
            </w:r>
            <w:r w:rsidRPr="006F09F3">
              <w:t xml:space="preserve"> </w:t>
            </w:r>
            <w:r w:rsidR="004C74BF" w:rsidRPr="004C74BF">
              <w:rPr>
                <w:kern w:val="0"/>
                <w:sz w:val="24"/>
                <w:szCs w:val="24"/>
              </w:rPr>
              <w:t xml:space="preserve">Постановлением администрации городского округа город Арзамас Нижегородской области от </w:t>
            </w:r>
            <w:r w:rsidR="00E80C26" w:rsidRPr="00E80C26">
              <w:rPr>
                <w:kern w:val="0"/>
                <w:sz w:val="24"/>
                <w:szCs w:val="24"/>
              </w:rPr>
              <w:t xml:space="preserve">03.12.2025 №4815 </w:t>
            </w:r>
            <w:r w:rsidR="004C74BF" w:rsidRPr="004C74BF">
              <w:rPr>
                <w:kern w:val="0"/>
                <w:sz w:val="24"/>
                <w:szCs w:val="24"/>
              </w:rPr>
              <w:t xml:space="preserve">«О проведении аукциона в электронной форме на право заключения договора аренды земельного участка по адресу: </w:t>
            </w:r>
            <w:r w:rsidR="00E80C26" w:rsidRPr="00E80C26">
              <w:rPr>
                <w:kern w:val="0"/>
                <w:sz w:val="24"/>
                <w:szCs w:val="24"/>
              </w:rPr>
              <w:t>Нижегородская область, Арзамасский район, севернее д. Кокаревка</w:t>
            </w:r>
            <w:r w:rsidR="004C74BF" w:rsidRPr="004C74BF">
              <w:rPr>
                <w:kern w:val="0"/>
                <w:sz w:val="24"/>
                <w:szCs w:val="24"/>
              </w:rPr>
              <w:t>, находящегося в государственной собственности до р</w:t>
            </w:r>
            <w:r w:rsidR="004C74BF">
              <w:rPr>
                <w:kern w:val="0"/>
                <w:sz w:val="24"/>
                <w:szCs w:val="24"/>
              </w:rPr>
              <w:t>азграничения»</w:t>
            </w:r>
          </w:p>
          <w:p w14:paraId="5CF060D0" w14:textId="7FAFB433" w:rsidR="00F53C47" w:rsidRPr="006F09F3" w:rsidRDefault="00F53C47" w:rsidP="00096405">
            <w:pPr>
              <w:pStyle w:val="a6"/>
              <w:jc w:val="both"/>
              <w:rPr>
                <w:sz w:val="24"/>
                <w:szCs w:val="24"/>
              </w:rPr>
            </w:pPr>
            <w:r w:rsidRPr="006F09F3">
              <w:rPr>
                <w:b/>
                <w:sz w:val="24"/>
                <w:szCs w:val="24"/>
              </w:rPr>
              <w:t xml:space="preserve">Обременения земельного участка: </w:t>
            </w:r>
            <w:r w:rsidRPr="006F09F3">
              <w:rPr>
                <w:sz w:val="24"/>
                <w:szCs w:val="24"/>
              </w:rPr>
              <w:t>-</w:t>
            </w:r>
          </w:p>
          <w:p w14:paraId="0CBEE807" w14:textId="3239182D" w:rsidR="00F53C47" w:rsidRPr="006F09F3" w:rsidRDefault="00F53C47" w:rsidP="00096405">
            <w:pPr>
              <w:jc w:val="both"/>
            </w:pPr>
            <w:r w:rsidRPr="006F09F3">
              <w:rPr>
                <w:b/>
              </w:rPr>
              <w:t>Сведения о правах на земельный участок:</w:t>
            </w:r>
            <w:r w:rsidRPr="006F09F3">
              <w:t xml:space="preserve"> </w:t>
            </w:r>
            <w:r w:rsidR="00096405" w:rsidRPr="006F09F3">
              <w:t>государственная собственность</w:t>
            </w:r>
            <w:r w:rsidR="00096405" w:rsidRPr="003258C8">
              <w:t xml:space="preserve"> до разграничения</w:t>
            </w:r>
          </w:p>
          <w:p w14:paraId="12D80D91" w14:textId="29B0FA53" w:rsidR="00F53C47" w:rsidRPr="006F09F3" w:rsidRDefault="00F53C47" w:rsidP="00096405">
            <w:pPr>
              <w:widowControl w:val="0"/>
              <w:autoSpaceDE w:val="0"/>
              <w:autoSpaceDN w:val="0"/>
              <w:spacing w:after="160"/>
              <w:contextualSpacing/>
              <w:jc w:val="both"/>
            </w:pPr>
            <w:r w:rsidRPr="006F09F3">
              <w:rPr>
                <w:b/>
              </w:rPr>
              <w:t>Начальная цена предмета аукциона:</w:t>
            </w:r>
            <w:r w:rsidR="004C74BF">
              <w:t xml:space="preserve"> </w:t>
            </w:r>
            <w:r w:rsidR="00E80C26" w:rsidRPr="00E80C26">
              <w:t xml:space="preserve">292037,84 рублей (Двести девяносто две тысячи </w:t>
            </w:r>
            <w:r w:rsidR="00E80C26">
              <w:t>тридцать семь рублей 84 копеек)</w:t>
            </w:r>
            <w:r w:rsidR="004C74BF" w:rsidRPr="004C74BF">
              <w:t>.</w:t>
            </w:r>
            <w:r w:rsidRPr="006F09F3">
              <w:t xml:space="preserve"> НДС  не облагается. Начальная цена предмета аукциона в размере ежегодной арендной платы, на основании  отчета  об</w:t>
            </w:r>
            <w:r w:rsidR="005816E3">
              <w:t xml:space="preserve"> оценке   от  </w:t>
            </w:r>
            <w:r w:rsidR="00E80C26" w:rsidRPr="00E80C26">
              <w:t>22.10.2025 №409</w:t>
            </w:r>
            <w:r w:rsidR="00896AE0">
              <w:t>.</w:t>
            </w:r>
          </w:p>
          <w:p w14:paraId="2C4108C4" w14:textId="2271ED75" w:rsidR="005816E3" w:rsidRDefault="00F53C47" w:rsidP="00026C3F">
            <w:pPr>
              <w:widowControl w:val="0"/>
              <w:autoSpaceDE w:val="0"/>
              <w:autoSpaceDN w:val="0"/>
              <w:spacing w:after="160"/>
              <w:contextualSpacing/>
              <w:jc w:val="both"/>
            </w:pPr>
            <w:r w:rsidRPr="006F09F3">
              <w:rPr>
                <w:b/>
              </w:rPr>
              <w:t>Размер задатка:</w:t>
            </w:r>
            <w:r w:rsidR="00D355C7" w:rsidRPr="006F09F3">
              <w:t xml:space="preserve">  </w:t>
            </w:r>
            <w:r w:rsidR="00E80C26" w:rsidRPr="00E80C26">
              <w:t>233630,27 рублей (Двести тридцать три тысячи шест</w:t>
            </w:r>
            <w:r w:rsidR="00E80C26">
              <w:t>ьсот тридцать рублей 27 копеек)</w:t>
            </w:r>
            <w:r w:rsidR="005816E3" w:rsidRPr="005816E3">
              <w:t>.</w:t>
            </w:r>
          </w:p>
          <w:p w14:paraId="7BF6E3EB" w14:textId="77777777" w:rsidR="00A91944" w:rsidRDefault="00F53C47" w:rsidP="005816E3">
            <w:pPr>
              <w:widowControl w:val="0"/>
              <w:autoSpaceDE w:val="0"/>
              <w:autoSpaceDN w:val="0"/>
              <w:spacing w:after="160"/>
              <w:contextualSpacing/>
              <w:jc w:val="both"/>
            </w:pPr>
            <w:r w:rsidRPr="006F09F3">
              <w:rPr>
                <w:b/>
              </w:rPr>
              <w:t>Шаг аукциона:</w:t>
            </w:r>
            <w:r w:rsidR="005816E3">
              <w:t xml:space="preserve"> </w:t>
            </w:r>
            <w:r w:rsidR="00E80C26" w:rsidRPr="00E80C26">
              <w:t>8761,13 (Восемь тысяч семьсот шестьдесят один рубль 13 копеек).</w:t>
            </w:r>
          </w:p>
          <w:p w14:paraId="52F56369" w14:textId="33AF6539" w:rsidR="00D137FF" w:rsidRDefault="00D137FF" w:rsidP="00D137FF">
            <w:pPr>
              <w:widowControl w:val="0"/>
              <w:autoSpaceDE w:val="0"/>
              <w:autoSpaceDN w:val="0"/>
              <w:spacing w:after="160"/>
              <w:contextualSpacing/>
              <w:jc w:val="both"/>
              <w:rPr>
                <w:lang w:eastAsia="zh-CN"/>
              </w:rPr>
            </w:pPr>
            <w:r w:rsidRPr="00D137FF">
              <w:rPr>
                <w:lang w:eastAsia="zh-CN"/>
              </w:rPr>
              <w:t xml:space="preserve">          Аук</w:t>
            </w:r>
            <w:r>
              <w:rPr>
                <w:lang w:eastAsia="zh-CN"/>
              </w:rPr>
              <w:t xml:space="preserve">цион, назначенный на 25.09.2025 по лоту №1 </w:t>
            </w:r>
            <w:r w:rsidR="003F2646">
              <w:rPr>
                <w:lang w:eastAsia="zh-CN"/>
              </w:rPr>
              <w:t>не</w:t>
            </w:r>
            <w:r>
              <w:rPr>
                <w:lang w:eastAsia="zh-CN"/>
              </w:rPr>
              <w:t xml:space="preserve"> состоялся.</w:t>
            </w:r>
            <w:r w:rsidRPr="00D137FF">
              <w:rPr>
                <w:lang w:eastAsia="zh-CN"/>
              </w:rPr>
              <w:t xml:space="preserve"> (Извещение №21000000160000000265</w:t>
            </w:r>
            <w:r>
              <w:rPr>
                <w:lang w:eastAsia="zh-CN"/>
              </w:rPr>
              <w:t>, лот №1от 14.08.2025</w:t>
            </w:r>
            <w:r w:rsidRPr="00D137FF">
              <w:rPr>
                <w:lang w:eastAsia="zh-CN"/>
              </w:rPr>
              <w:t xml:space="preserve"> сайт torgi.gov.ru ).</w:t>
            </w:r>
          </w:p>
          <w:p w14:paraId="5DA79B74" w14:textId="58D21268" w:rsidR="003F2646" w:rsidRPr="00026C3F" w:rsidRDefault="003F2646" w:rsidP="00D137FF">
            <w:pPr>
              <w:widowControl w:val="0"/>
              <w:autoSpaceDE w:val="0"/>
              <w:autoSpaceDN w:val="0"/>
              <w:spacing w:after="160"/>
              <w:contextualSpacing/>
              <w:jc w:val="both"/>
              <w:rPr>
                <w:lang w:eastAsia="zh-CN"/>
              </w:rPr>
            </w:pPr>
            <w:r w:rsidRPr="003F2646">
              <w:rPr>
                <w:lang w:eastAsia="zh-CN"/>
              </w:rPr>
              <w:t xml:space="preserve">    </w:t>
            </w:r>
            <w:r>
              <w:rPr>
                <w:lang w:eastAsia="zh-CN"/>
              </w:rPr>
              <w:t xml:space="preserve">      Аукцион, назначенный на 26.01.2026</w:t>
            </w:r>
            <w:r w:rsidRPr="003F2646">
              <w:rPr>
                <w:lang w:eastAsia="zh-CN"/>
              </w:rPr>
              <w:t xml:space="preserve"> по лоту №1 </w:t>
            </w:r>
            <w:r>
              <w:rPr>
                <w:lang w:eastAsia="zh-CN"/>
              </w:rPr>
              <w:t>не</w:t>
            </w:r>
            <w:r w:rsidRPr="003F2646">
              <w:rPr>
                <w:lang w:eastAsia="zh-CN"/>
              </w:rPr>
              <w:t xml:space="preserve"> состоялся. </w:t>
            </w:r>
            <w:r>
              <w:rPr>
                <w:lang w:eastAsia="zh-CN"/>
              </w:rPr>
              <w:t xml:space="preserve">(Извещение </w:t>
            </w:r>
            <w:r>
              <w:rPr>
                <w:lang w:eastAsia="zh-CN"/>
              </w:rPr>
              <w:lastRenderedPageBreak/>
              <w:t>№21000000160000000299, лот №1от 09.12.2025</w:t>
            </w:r>
            <w:r w:rsidRPr="003F2646">
              <w:rPr>
                <w:lang w:eastAsia="zh-CN"/>
              </w:rPr>
              <w:t xml:space="preserve"> сайт torgi.gov.ru ).</w:t>
            </w:r>
          </w:p>
        </w:tc>
      </w:tr>
    </w:tbl>
    <w:p w14:paraId="30CB1916" w14:textId="77777777" w:rsidR="00A91944" w:rsidRDefault="00A91944" w:rsidP="00C103B3">
      <w:pPr>
        <w:pStyle w:val="Standard"/>
        <w:jc w:val="both"/>
        <w:rPr>
          <w:sz w:val="20"/>
          <w:szCs w:val="20"/>
        </w:rPr>
      </w:pPr>
    </w:p>
    <w:p w14:paraId="7708756D" w14:textId="7BF36922" w:rsidR="00E847D6" w:rsidRPr="00DC09BD" w:rsidRDefault="00E847D6" w:rsidP="00C103B3">
      <w:pPr>
        <w:pStyle w:val="Standard"/>
        <w:jc w:val="both"/>
      </w:pPr>
      <w:r w:rsidRPr="00DC09BD">
        <w:t xml:space="preserve">          </w:t>
      </w:r>
    </w:p>
    <w:p w14:paraId="75CA722C" w14:textId="0B0812FF" w:rsidR="00E20CEF" w:rsidRDefault="00E20CEF" w:rsidP="003726A3">
      <w:pPr>
        <w:pStyle w:val="Standard"/>
        <w:tabs>
          <w:tab w:val="center" w:pos="4153"/>
          <w:tab w:val="right" w:pos="8306"/>
          <w:tab w:val="left" w:pos="9020"/>
        </w:tabs>
        <w:jc w:val="both"/>
        <w:rPr>
          <w:color w:val="FF0000"/>
        </w:rPr>
      </w:pPr>
    </w:p>
    <w:p w14:paraId="42F2E1FB" w14:textId="6B7057AA" w:rsidR="00A91944" w:rsidRPr="00C103B3" w:rsidRDefault="00DC09BD" w:rsidP="00C103B3">
      <w:pPr>
        <w:pStyle w:val="Standard"/>
        <w:jc w:val="both"/>
        <w:rPr>
          <w:color w:val="800000"/>
        </w:rPr>
      </w:pPr>
      <w:r>
        <w:rPr>
          <w:color w:val="FF0000"/>
        </w:rPr>
        <w:t xml:space="preserve">         </w:t>
      </w:r>
      <w:r w:rsidR="00A91944" w:rsidRPr="00C103B3">
        <w:rPr>
          <w:color w:val="FF0000"/>
        </w:rPr>
        <w:t xml:space="preserve">Внимание! </w:t>
      </w:r>
      <w:r w:rsidR="00A91944" w:rsidRPr="00C103B3">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51B31F42"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Заявок: </w:t>
      </w:r>
      <w:r w:rsidR="003F2646">
        <w:rPr>
          <w:color w:val="000000"/>
        </w:rPr>
        <w:t xml:space="preserve"> 13 марта 2026</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7721026F" w:rsidR="00A91944" w:rsidRPr="00C103B3" w:rsidRDefault="00A91944" w:rsidP="00C103B3">
      <w:pPr>
        <w:pStyle w:val="Standard"/>
        <w:jc w:val="both"/>
        <w:rPr>
          <w:i/>
          <w:color w:val="000000"/>
        </w:rPr>
      </w:pPr>
      <w:r w:rsidRPr="00C103B3">
        <w:rPr>
          <w:b/>
          <w:bCs/>
          <w:color w:val="000000"/>
          <w:u w:val="single"/>
        </w:rPr>
        <w:t>Дата и время окончания срока приема Заявок:</w:t>
      </w:r>
      <w:r w:rsidR="00FE639C">
        <w:rPr>
          <w:b/>
          <w:bCs/>
          <w:color w:val="000000"/>
          <w:u w:val="single"/>
        </w:rPr>
        <w:t xml:space="preserve"> </w:t>
      </w:r>
      <w:r w:rsidR="003F2646">
        <w:rPr>
          <w:bCs/>
          <w:color w:val="000000"/>
        </w:rPr>
        <w:t xml:space="preserve"> 20 апреля 2026</w:t>
      </w:r>
      <w:r w:rsidR="00673BE3">
        <w:rPr>
          <w:color w:val="000000"/>
        </w:rPr>
        <w:t xml:space="preserve"> в 23 час. 59</w:t>
      </w:r>
      <w:r w:rsidRPr="00C103B3">
        <w:rPr>
          <w:color w:val="000000"/>
        </w:rPr>
        <w:t xml:space="preserve"> мин.</w:t>
      </w:r>
    </w:p>
    <w:p w14:paraId="7675C662" w14:textId="3D251D85"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3F2646">
        <w:rPr>
          <w:color w:val="000000"/>
        </w:rPr>
        <w:t xml:space="preserve"> 21 апреля 2026</w:t>
      </w:r>
    </w:p>
    <w:p w14:paraId="3FDF2BC2" w14:textId="5D5DF28A" w:rsidR="002D68AC" w:rsidRPr="00C103B3" w:rsidRDefault="002D68AC" w:rsidP="00C103B3">
      <w:pPr>
        <w:pStyle w:val="Standard"/>
        <w:jc w:val="both"/>
        <w:rPr>
          <w:i/>
          <w:color w:val="000000"/>
        </w:rPr>
      </w:pPr>
      <w:r w:rsidRPr="002D68AC">
        <w:rPr>
          <w:b/>
          <w:color w:val="000000"/>
          <w:u w:val="single"/>
        </w:rPr>
        <w:t>Дата аукциона:</w:t>
      </w:r>
      <w:r w:rsidR="003F2646">
        <w:rPr>
          <w:color w:val="000000"/>
        </w:rPr>
        <w:t xml:space="preserve"> 22 апреля </w:t>
      </w:r>
      <w:r w:rsidR="00010718">
        <w:rPr>
          <w:color w:val="000000"/>
        </w:rPr>
        <w:t>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претендующий(ие) на заключение договора аренды Земельного участка, имеющий(ие)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 xml:space="preserve">аукциона. Для осмотра земельного участка с учетом установленных сроков для приема заявок лицо, </w:t>
      </w:r>
      <w:r w:rsidRPr="00C103B3">
        <w:rPr>
          <w:color w:val="000000"/>
        </w:rPr>
        <w:lastRenderedPageBreak/>
        <w:t>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надлежащим </w:t>
      </w:r>
      <w:r w:rsidR="00A91944" w:rsidRPr="00C103B3">
        <w:rPr>
          <w:color w:val="000000"/>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lastRenderedPageBreak/>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w:t>
      </w:r>
      <w:r>
        <w:lastRenderedPageBreak/>
        <w:t xml:space="preserve">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6354058E"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3F2646">
        <w:rPr>
          <w:color w:val="000000"/>
        </w:rPr>
        <w:t xml:space="preserve"> 21 апреля </w:t>
      </w:r>
      <w:r w:rsidR="00010718">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lastRenderedPageBreak/>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7"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2D5D09B5"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3F2646">
        <w:t xml:space="preserve">22 апреля </w:t>
      </w:r>
      <w:r w:rsidR="00010718">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w:t>
      </w:r>
      <w:r w:rsidR="00A91944" w:rsidRPr="00C103B3">
        <w:rPr>
          <w:color w:val="000000"/>
        </w:rPr>
        <w:lastRenderedPageBreak/>
        <w:t>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8"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w:t>
      </w:r>
      <w:r w:rsidRPr="00C103B3">
        <w:rPr>
          <w:color w:val="000000"/>
        </w:rPr>
        <w:lastRenderedPageBreak/>
        <w:t xml:space="preserve">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w:t>
      </w:r>
      <w:r w:rsidRPr="00C103B3">
        <w:rPr>
          <w:sz w:val="22"/>
          <w:szCs w:val="22"/>
        </w:rPr>
        <w:lastRenderedPageBreak/>
        <w:t>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lastRenderedPageBreak/>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643A3461" w14:textId="77777777" w:rsidR="00010718" w:rsidRPr="009F5662" w:rsidRDefault="00A91944" w:rsidP="00010718">
      <w:pPr>
        <w:pStyle w:val="23"/>
        <w:spacing w:after="0" w:line="240" w:lineRule="auto"/>
        <w:ind w:left="0"/>
        <w:jc w:val="both"/>
      </w:pPr>
      <w:r w:rsidRPr="00C103B3">
        <w:t xml:space="preserve">        </w:t>
      </w:r>
      <w:r w:rsidR="00010718" w:rsidRPr="009F5662">
        <w:t xml:space="preserve">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00010718" w:rsidRPr="009F5662">
        <w:rPr>
          <w:bCs/>
        </w:rPr>
        <w:t>366 1 11 05012 04 0000 120</w:t>
      </w:r>
      <w:r w:rsidR="00010718" w:rsidRPr="009F5662">
        <w:t xml:space="preserve">, ОКТМО </w:t>
      </w:r>
      <w:r w:rsidR="00010718" w:rsidRPr="009F5662">
        <w:rPr>
          <w:bCs/>
        </w:rPr>
        <w:t>22703000</w:t>
      </w:r>
      <w:r w:rsidR="00010718" w:rsidRPr="009F5662">
        <w:t>.</w:t>
      </w:r>
    </w:p>
    <w:p w14:paraId="27F84847" w14:textId="77777777" w:rsidR="00010718" w:rsidRPr="009F5662" w:rsidRDefault="00010718" w:rsidP="00010718">
      <w:pPr>
        <w:pStyle w:val="23"/>
        <w:spacing w:after="0" w:line="240" w:lineRule="auto"/>
        <w:ind w:left="0"/>
        <w:jc w:val="both"/>
      </w:pPr>
      <w:r w:rsidRPr="009F5662">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14:paraId="673F6952" w14:textId="2C556CC3" w:rsidR="00A91944" w:rsidRPr="00C103B3" w:rsidRDefault="00A91944" w:rsidP="00010718">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w:t>
      </w:r>
      <w:r w:rsidRPr="00C103B3">
        <w:lastRenderedPageBreak/>
        <w:t>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516FE1C4"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arz</w:t>
      </w:r>
      <w:r w:rsidRPr="00C103B3">
        <w:t>.</w:t>
      </w:r>
      <w:r w:rsidR="004C74BF">
        <w:rPr>
          <w:lang w:val="en-US"/>
        </w:rPr>
        <w:t>nobl</w:t>
      </w:r>
      <w:r w:rsidR="004C74BF" w:rsidRPr="004C74BF">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lastRenderedPageBreak/>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9"/>
          <w:headerReference w:type="default" r:id="rId10"/>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Ф.И.О., гражданина,  индивидуального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b"/>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2"/>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6EF1FEE2" w14:textId="77777777" w:rsidR="00A21809" w:rsidRDefault="00A21809" w:rsidP="00C103B3">
      <w:pPr>
        <w:rPr>
          <w:sz w:val="18"/>
          <w:szCs w:val="18"/>
        </w:rPr>
      </w:pPr>
    </w:p>
    <w:p w14:paraId="1FAC15CC" w14:textId="77777777" w:rsidR="00B62405" w:rsidRDefault="00B62405" w:rsidP="00C103B3">
      <w:pPr>
        <w:rPr>
          <w:sz w:val="18"/>
          <w:szCs w:val="18"/>
        </w:rPr>
      </w:pPr>
    </w:p>
    <w:p w14:paraId="27CCF100" w14:textId="77777777" w:rsidR="00B62405" w:rsidRDefault="00B62405" w:rsidP="00C103B3">
      <w:pPr>
        <w:rPr>
          <w:sz w:val="18"/>
          <w:szCs w:val="18"/>
        </w:rPr>
      </w:pPr>
    </w:p>
    <w:p w14:paraId="7C46682F" w14:textId="77777777" w:rsidR="00B62405" w:rsidRDefault="00B62405" w:rsidP="00C103B3">
      <w:pPr>
        <w:rPr>
          <w:sz w:val="18"/>
          <w:szCs w:val="18"/>
        </w:rPr>
      </w:pPr>
    </w:p>
    <w:p w14:paraId="3417D573" w14:textId="77777777" w:rsidR="00B62405" w:rsidRDefault="00B62405" w:rsidP="00C103B3">
      <w:pPr>
        <w:rPr>
          <w:sz w:val="18"/>
          <w:szCs w:val="18"/>
        </w:rPr>
      </w:pPr>
    </w:p>
    <w:p w14:paraId="116478B8" w14:textId="77777777" w:rsidR="00B62405" w:rsidRDefault="00B62405" w:rsidP="00C103B3">
      <w:pPr>
        <w:rPr>
          <w:sz w:val="18"/>
          <w:szCs w:val="18"/>
        </w:rPr>
      </w:pPr>
    </w:p>
    <w:p w14:paraId="5677D973" w14:textId="77777777" w:rsidR="00B62405" w:rsidRDefault="00B62405" w:rsidP="00C103B3">
      <w:pPr>
        <w:rPr>
          <w:sz w:val="18"/>
          <w:szCs w:val="18"/>
        </w:rPr>
      </w:pPr>
    </w:p>
    <w:p w14:paraId="4EDDE9DE" w14:textId="77777777" w:rsidR="00B62405" w:rsidRDefault="00B62405" w:rsidP="00C103B3">
      <w:pPr>
        <w:rPr>
          <w:sz w:val="18"/>
          <w:szCs w:val="18"/>
        </w:rPr>
      </w:pPr>
    </w:p>
    <w:p w14:paraId="3261C25D" w14:textId="77777777" w:rsidR="00B62405" w:rsidRDefault="00B62405" w:rsidP="00C103B3">
      <w:pPr>
        <w:rPr>
          <w:sz w:val="18"/>
          <w:szCs w:val="18"/>
        </w:rPr>
      </w:pPr>
    </w:p>
    <w:p w14:paraId="6B6A4605" w14:textId="77777777" w:rsidR="00B62405" w:rsidRDefault="00B62405" w:rsidP="00C103B3">
      <w:pPr>
        <w:rPr>
          <w:sz w:val="18"/>
          <w:szCs w:val="18"/>
        </w:rPr>
      </w:pPr>
    </w:p>
    <w:p w14:paraId="670D1EA8" w14:textId="77777777" w:rsidR="00B62405" w:rsidRDefault="00B62405" w:rsidP="00C103B3">
      <w:pPr>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354691C4" w14:textId="77777777" w:rsidR="00B62405" w:rsidRDefault="00B62405" w:rsidP="00B62405">
      <w:pPr>
        <w:jc w:val="right"/>
        <w:rPr>
          <w:sz w:val="18"/>
          <w:szCs w:val="18"/>
        </w:rPr>
      </w:pPr>
      <w:r>
        <w:rPr>
          <w:sz w:val="18"/>
          <w:szCs w:val="18"/>
        </w:rPr>
        <w:t xml:space="preserve">                                                     </w:t>
      </w:r>
    </w:p>
    <w:p w14:paraId="588CB9F9" w14:textId="77777777" w:rsidR="00B62405" w:rsidRDefault="00B62405" w:rsidP="00B62405">
      <w:pPr>
        <w:jc w:val="right"/>
        <w:rPr>
          <w:sz w:val="18"/>
          <w:szCs w:val="18"/>
        </w:rPr>
      </w:pPr>
    </w:p>
    <w:p w14:paraId="29C759C1" w14:textId="77777777" w:rsidR="00B62405" w:rsidRDefault="00B62405" w:rsidP="00B62405">
      <w:pPr>
        <w:jc w:val="right"/>
        <w:rPr>
          <w:sz w:val="18"/>
          <w:szCs w:val="18"/>
        </w:rPr>
      </w:pPr>
    </w:p>
    <w:p w14:paraId="5FCB01DA" w14:textId="77777777" w:rsidR="00B62405" w:rsidRDefault="00B62405" w:rsidP="00B62405">
      <w:pPr>
        <w:jc w:val="right"/>
        <w:rPr>
          <w:sz w:val="18"/>
          <w:szCs w:val="18"/>
        </w:rPr>
      </w:pPr>
    </w:p>
    <w:p w14:paraId="0A12DFA4" w14:textId="77777777" w:rsidR="00B62405" w:rsidRDefault="00B62405" w:rsidP="00B62405">
      <w:pPr>
        <w:jc w:val="right"/>
        <w:rPr>
          <w:sz w:val="18"/>
          <w:szCs w:val="18"/>
        </w:rPr>
      </w:pPr>
    </w:p>
    <w:p w14:paraId="111A4915" w14:textId="77777777" w:rsidR="00B62405" w:rsidRDefault="00B62405" w:rsidP="00B62405">
      <w:pPr>
        <w:jc w:val="right"/>
        <w:rPr>
          <w:sz w:val="18"/>
          <w:szCs w:val="18"/>
        </w:rPr>
      </w:pPr>
    </w:p>
    <w:p w14:paraId="38726E71" w14:textId="77777777" w:rsidR="00B62405" w:rsidRDefault="00B62405" w:rsidP="00B62405">
      <w:pPr>
        <w:jc w:val="right"/>
        <w:rPr>
          <w:sz w:val="18"/>
          <w:szCs w:val="18"/>
        </w:rPr>
      </w:pPr>
    </w:p>
    <w:p w14:paraId="1903A74A" w14:textId="77777777" w:rsidR="00B62405" w:rsidRDefault="00B62405" w:rsidP="00B62405">
      <w:pPr>
        <w:jc w:val="right"/>
        <w:rPr>
          <w:sz w:val="18"/>
          <w:szCs w:val="18"/>
        </w:rPr>
      </w:pPr>
    </w:p>
    <w:p w14:paraId="3C358B3D" w14:textId="77777777" w:rsidR="00B62405" w:rsidRDefault="00B62405" w:rsidP="00B62405">
      <w:pPr>
        <w:jc w:val="right"/>
        <w:rPr>
          <w:sz w:val="18"/>
          <w:szCs w:val="18"/>
        </w:rPr>
      </w:pPr>
    </w:p>
    <w:p w14:paraId="6D2B7654" w14:textId="77777777" w:rsidR="00B62405" w:rsidRDefault="00B62405" w:rsidP="00B62405">
      <w:pPr>
        <w:jc w:val="right"/>
        <w:rPr>
          <w:sz w:val="18"/>
          <w:szCs w:val="18"/>
        </w:rPr>
      </w:pPr>
    </w:p>
    <w:p w14:paraId="3767662F" w14:textId="77777777" w:rsidR="00B62405" w:rsidRDefault="00B62405" w:rsidP="00B62405">
      <w:pPr>
        <w:jc w:val="right"/>
        <w:rPr>
          <w:sz w:val="18"/>
          <w:szCs w:val="18"/>
        </w:rPr>
      </w:pPr>
    </w:p>
    <w:p w14:paraId="14C7E1AF" w14:textId="77777777" w:rsidR="00B62405" w:rsidRDefault="00B62405" w:rsidP="00B62405">
      <w:pPr>
        <w:jc w:val="right"/>
        <w:rPr>
          <w:sz w:val="18"/>
          <w:szCs w:val="18"/>
        </w:rPr>
      </w:pPr>
    </w:p>
    <w:p w14:paraId="5329AA6C" w14:textId="77777777" w:rsidR="00B62405" w:rsidRDefault="00B62405" w:rsidP="00B62405">
      <w:pPr>
        <w:jc w:val="right"/>
        <w:rPr>
          <w:sz w:val="18"/>
          <w:szCs w:val="18"/>
        </w:rPr>
      </w:pPr>
    </w:p>
    <w:p w14:paraId="007BE5C1" w14:textId="77777777" w:rsidR="00B62405" w:rsidRDefault="00B62405" w:rsidP="00B62405">
      <w:pPr>
        <w:jc w:val="right"/>
        <w:rPr>
          <w:sz w:val="18"/>
          <w:szCs w:val="18"/>
        </w:rPr>
      </w:pPr>
    </w:p>
    <w:p w14:paraId="2C29BB89" w14:textId="77777777" w:rsidR="00B62405" w:rsidRDefault="00B62405" w:rsidP="00B62405">
      <w:pPr>
        <w:jc w:val="right"/>
        <w:rPr>
          <w:sz w:val="18"/>
          <w:szCs w:val="18"/>
        </w:rPr>
      </w:pPr>
    </w:p>
    <w:p w14:paraId="580C46DE" w14:textId="77777777" w:rsidR="00B62405" w:rsidRDefault="00B62405" w:rsidP="00B62405">
      <w:pPr>
        <w:jc w:val="right"/>
        <w:rPr>
          <w:sz w:val="18"/>
          <w:szCs w:val="18"/>
        </w:rPr>
      </w:pPr>
    </w:p>
    <w:p w14:paraId="6A079EA8" w14:textId="77777777" w:rsidR="00B62405" w:rsidRDefault="00B62405" w:rsidP="00B62405">
      <w:pPr>
        <w:jc w:val="right"/>
        <w:rPr>
          <w:sz w:val="18"/>
          <w:szCs w:val="18"/>
        </w:rPr>
      </w:pPr>
    </w:p>
    <w:p w14:paraId="415E79AF" w14:textId="77777777" w:rsidR="00B62405" w:rsidRDefault="00B62405" w:rsidP="00B62405">
      <w:pPr>
        <w:jc w:val="right"/>
        <w:rPr>
          <w:sz w:val="18"/>
          <w:szCs w:val="18"/>
        </w:rPr>
      </w:pPr>
    </w:p>
    <w:p w14:paraId="606F0291" w14:textId="77777777" w:rsidR="00B62405" w:rsidRDefault="00B62405" w:rsidP="00B62405">
      <w:pPr>
        <w:jc w:val="right"/>
        <w:rPr>
          <w:sz w:val="18"/>
          <w:szCs w:val="18"/>
        </w:rPr>
      </w:pPr>
    </w:p>
    <w:p w14:paraId="1DC26645" w14:textId="77777777" w:rsidR="00B62405" w:rsidRDefault="00B62405" w:rsidP="00B62405">
      <w:pPr>
        <w:jc w:val="right"/>
        <w:rPr>
          <w:sz w:val="18"/>
          <w:szCs w:val="18"/>
        </w:rPr>
      </w:pPr>
    </w:p>
    <w:p w14:paraId="45DA26A1" w14:textId="77777777" w:rsidR="00B62405" w:rsidRDefault="00B62405" w:rsidP="00B62405">
      <w:pPr>
        <w:jc w:val="right"/>
        <w:rPr>
          <w:sz w:val="18"/>
          <w:szCs w:val="18"/>
        </w:rPr>
      </w:pPr>
    </w:p>
    <w:p w14:paraId="5D08C5DA" w14:textId="77777777" w:rsidR="00B62405" w:rsidRDefault="00B62405" w:rsidP="00B62405">
      <w:pPr>
        <w:jc w:val="right"/>
        <w:rPr>
          <w:sz w:val="18"/>
          <w:szCs w:val="18"/>
        </w:rPr>
      </w:pPr>
    </w:p>
    <w:p w14:paraId="349B3475" w14:textId="77777777" w:rsidR="00B62405" w:rsidRDefault="00B62405" w:rsidP="00B62405">
      <w:pPr>
        <w:jc w:val="right"/>
        <w:rPr>
          <w:sz w:val="18"/>
          <w:szCs w:val="18"/>
        </w:rPr>
      </w:pPr>
    </w:p>
    <w:p w14:paraId="4138346F" w14:textId="77777777" w:rsidR="00B62405" w:rsidRDefault="00B62405" w:rsidP="00B62405">
      <w:pPr>
        <w:jc w:val="right"/>
        <w:rPr>
          <w:sz w:val="18"/>
          <w:szCs w:val="18"/>
        </w:rPr>
      </w:pPr>
    </w:p>
    <w:p w14:paraId="24406E8D" w14:textId="77777777" w:rsidR="00B62405" w:rsidRDefault="00B62405" w:rsidP="00B62405">
      <w:pPr>
        <w:jc w:val="right"/>
        <w:rPr>
          <w:sz w:val="18"/>
          <w:szCs w:val="18"/>
        </w:rPr>
      </w:pPr>
    </w:p>
    <w:p w14:paraId="56DDE419" w14:textId="77777777" w:rsidR="00B62405" w:rsidRDefault="00B62405" w:rsidP="00B62405">
      <w:pPr>
        <w:jc w:val="right"/>
        <w:rPr>
          <w:sz w:val="18"/>
          <w:szCs w:val="18"/>
        </w:rPr>
      </w:pPr>
    </w:p>
    <w:p w14:paraId="19847ADC" w14:textId="77777777" w:rsidR="00B62405" w:rsidRDefault="00B62405" w:rsidP="00B62405">
      <w:pPr>
        <w:jc w:val="right"/>
        <w:rPr>
          <w:sz w:val="18"/>
          <w:szCs w:val="18"/>
        </w:rPr>
      </w:pPr>
    </w:p>
    <w:p w14:paraId="3D451146" w14:textId="1BA750BF" w:rsidR="002B6FE0" w:rsidRPr="00C103B3" w:rsidRDefault="002B6FE0" w:rsidP="00737F3D">
      <w:pPr>
        <w:rPr>
          <w:sz w:val="18"/>
          <w:szCs w:val="18"/>
        </w:rPr>
      </w:pPr>
    </w:p>
    <w:sectPr w:rsidR="002B6FE0" w:rsidRPr="00C103B3"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B401D" w14:textId="77777777" w:rsidR="007A7119" w:rsidRDefault="007A7119" w:rsidP="00A91944">
      <w:r>
        <w:separator/>
      </w:r>
    </w:p>
  </w:endnote>
  <w:endnote w:type="continuationSeparator" w:id="0">
    <w:p w14:paraId="6CC25D32" w14:textId="77777777" w:rsidR="007A7119" w:rsidRDefault="007A7119"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C4829" w14:textId="77777777" w:rsidR="007A7119" w:rsidRDefault="007A7119" w:rsidP="00A91944">
      <w:r>
        <w:separator/>
      </w:r>
    </w:p>
  </w:footnote>
  <w:footnote w:type="continuationSeparator" w:id="0">
    <w:p w14:paraId="72CBB306" w14:textId="77777777" w:rsidR="007A7119" w:rsidRDefault="007A7119" w:rsidP="00A91944">
      <w:r>
        <w:continuationSeparator/>
      </w:r>
    </w:p>
  </w:footnote>
  <w:footnote w:id="1">
    <w:p w14:paraId="39479367" w14:textId="77777777" w:rsidR="00AC0FEA" w:rsidRPr="00A91944" w:rsidRDefault="00AC0FEA" w:rsidP="00A91944">
      <w:pPr>
        <w:pStyle w:val="a9"/>
        <w:spacing w:line="216" w:lineRule="auto"/>
        <w:jc w:val="both"/>
        <w:rPr>
          <w:lang w:val="ru-RU"/>
        </w:rPr>
      </w:pPr>
      <w:r>
        <w:rPr>
          <w:rStyle w:val="ab"/>
        </w:rPr>
        <w:footnoteRef/>
      </w:r>
      <w:r w:rsidRPr="00A91944">
        <w:rPr>
          <w:sz w:val="18"/>
          <w:szCs w:val="18"/>
          <w:lang w:val="ru-RU"/>
        </w:rPr>
        <w:t>Заполняется при подаче Заявки юридическим лицом</w:t>
      </w:r>
      <w:r>
        <w:rPr>
          <w:sz w:val="18"/>
          <w:szCs w:val="18"/>
          <w:lang w:val="ru-RU"/>
        </w:rPr>
        <w:t>, или лицом действующим на основании доверенности</w:t>
      </w:r>
      <w:r w:rsidRPr="00A91944">
        <w:rPr>
          <w:sz w:val="18"/>
          <w:szCs w:val="18"/>
          <w:lang w:val="ru-RU"/>
        </w:rPr>
        <w:t>.</w:t>
      </w:r>
      <w:bookmarkStart w:id="1" w:name="_Hlk92875634"/>
      <w:bookmarkEnd w:id="1"/>
    </w:p>
  </w:footnote>
  <w:footnote w:id="2">
    <w:p w14:paraId="09EE9716" w14:textId="77777777" w:rsidR="00AC0FEA" w:rsidRDefault="00AC0FEA"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3">
    <w:p w14:paraId="2126D11B" w14:textId="77777777" w:rsidR="00AC0FEA" w:rsidRPr="00A91944" w:rsidRDefault="00AC0FEA"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AC0FEA" w:rsidRPr="00A91944" w:rsidRDefault="00AC0FEA"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AC0FEA" w:rsidRDefault="00AC0FEA"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AC0FEA" w:rsidRDefault="00AC0FEA">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AC0FEA" w:rsidRDefault="00AC0FEA">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041AC4" w:rsidRPr="00041AC4">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AC0FEA" w:rsidRDefault="00AC0FEA">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041AC4" w:rsidRPr="00041AC4">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0718"/>
    <w:rsid w:val="00026C3F"/>
    <w:rsid w:val="000273C8"/>
    <w:rsid w:val="00035F0B"/>
    <w:rsid w:val="00041AC4"/>
    <w:rsid w:val="00056077"/>
    <w:rsid w:val="0007214C"/>
    <w:rsid w:val="00095E61"/>
    <w:rsid w:val="00096405"/>
    <w:rsid w:val="000A2668"/>
    <w:rsid w:val="000A5527"/>
    <w:rsid w:val="000B4D42"/>
    <w:rsid w:val="000B78FD"/>
    <w:rsid w:val="000C4F66"/>
    <w:rsid w:val="000D2466"/>
    <w:rsid w:val="000E3471"/>
    <w:rsid w:val="000E537C"/>
    <w:rsid w:val="000F6EDF"/>
    <w:rsid w:val="00105291"/>
    <w:rsid w:val="00113DB6"/>
    <w:rsid w:val="001158CC"/>
    <w:rsid w:val="00115FB3"/>
    <w:rsid w:val="00120F4A"/>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7998"/>
    <w:rsid w:val="001C528D"/>
    <w:rsid w:val="001C5473"/>
    <w:rsid w:val="001D0F9E"/>
    <w:rsid w:val="001F057F"/>
    <w:rsid w:val="001F6BAE"/>
    <w:rsid w:val="001F7240"/>
    <w:rsid w:val="00202DA0"/>
    <w:rsid w:val="00206C2C"/>
    <w:rsid w:val="002152F4"/>
    <w:rsid w:val="00217433"/>
    <w:rsid w:val="00220AB8"/>
    <w:rsid w:val="00222A43"/>
    <w:rsid w:val="00226C55"/>
    <w:rsid w:val="00236B4B"/>
    <w:rsid w:val="00240E95"/>
    <w:rsid w:val="0025477F"/>
    <w:rsid w:val="002618C0"/>
    <w:rsid w:val="002732BA"/>
    <w:rsid w:val="0027475E"/>
    <w:rsid w:val="00280B5B"/>
    <w:rsid w:val="00290258"/>
    <w:rsid w:val="002951F1"/>
    <w:rsid w:val="002A2F2C"/>
    <w:rsid w:val="002A5766"/>
    <w:rsid w:val="002B248A"/>
    <w:rsid w:val="002B5DDF"/>
    <w:rsid w:val="002B6FE0"/>
    <w:rsid w:val="002C0051"/>
    <w:rsid w:val="002C0B28"/>
    <w:rsid w:val="002D68AC"/>
    <w:rsid w:val="002E0381"/>
    <w:rsid w:val="002E2164"/>
    <w:rsid w:val="002F19CF"/>
    <w:rsid w:val="0032193E"/>
    <w:rsid w:val="00323766"/>
    <w:rsid w:val="003258C8"/>
    <w:rsid w:val="003313E0"/>
    <w:rsid w:val="00331E0A"/>
    <w:rsid w:val="003350B0"/>
    <w:rsid w:val="0033569C"/>
    <w:rsid w:val="003441D2"/>
    <w:rsid w:val="0034488E"/>
    <w:rsid w:val="00365181"/>
    <w:rsid w:val="00367921"/>
    <w:rsid w:val="00367C0C"/>
    <w:rsid w:val="00371B79"/>
    <w:rsid w:val="003726A3"/>
    <w:rsid w:val="00374DA3"/>
    <w:rsid w:val="0037686D"/>
    <w:rsid w:val="00376F56"/>
    <w:rsid w:val="003770B9"/>
    <w:rsid w:val="0037734E"/>
    <w:rsid w:val="00377B17"/>
    <w:rsid w:val="00386E82"/>
    <w:rsid w:val="00393D95"/>
    <w:rsid w:val="003A0BBA"/>
    <w:rsid w:val="003A76FD"/>
    <w:rsid w:val="003B02DE"/>
    <w:rsid w:val="003B7004"/>
    <w:rsid w:val="003C30D0"/>
    <w:rsid w:val="003C5E9B"/>
    <w:rsid w:val="003C6B98"/>
    <w:rsid w:val="003D2ED2"/>
    <w:rsid w:val="003E22D9"/>
    <w:rsid w:val="003E56B5"/>
    <w:rsid w:val="003F0176"/>
    <w:rsid w:val="003F2646"/>
    <w:rsid w:val="00422DC8"/>
    <w:rsid w:val="004301E1"/>
    <w:rsid w:val="004338EE"/>
    <w:rsid w:val="0044409B"/>
    <w:rsid w:val="00453103"/>
    <w:rsid w:val="00456226"/>
    <w:rsid w:val="00463CE2"/>
    <w:rsid w:val="004727DE"/>
    <w:rsid w:val="004763AD"/>
    <w:rsid w:val="0048740D"/>
    <w:rsid w:val="00495A12"/>
    <w:rsid w:val="004A1BFA"/>
    <w:rsid w:val="004A25D0"/>
    <w:rsid w:val="004A3375"/>
    <w:rsid w:val="004B1A20"/>
    <w:rsid w:val="004C74BF"/>
    <w:rsid w:val="004D04B9"/>
    <w:rsid w:val="004D5E08"/>
    <w:rsid w:val="004D5F32"/>
    <w:rsid w:val="004F1691"/>
    <w:rsid w:val="004F5C97"/>
    <w:rsid w:val="00505243"/>
    <w:rsid w:val="00511CED"/>
    <w:rsid w:val="00513E20"/>
    <w:rsid w:val="005203B1"/>
    <w:rsid w:val="00520C45"/>
    <w:rsid w:val="005220A7"/>
    <w:rsid w:val="0052335B"/>
    <w:rsid w:val="005244D9"/>
    <w:rsid w:val="0052765C"/>
    <w:rsid w:val="005307FF"/>
    <w:rsid w:val="00530ADA"/>
    <w:rsid w:val="00530D49"/>
    <w:rsid w:val="00531771"/>
    <w:rsid w:val="005317C8"/>
    <w:rsid w:val="0053226F"/>
    <w:rsid w:val="00545482"/>
    <w:rsid w:val="0055196B"/>
    <w:rsid w:val="00552EEC"/>
    <w:rsid w:val="00560520"/>
    <w:rsid w:val="00561DC4"/>
    <w:rsid w:val="00562A1C"/>
    <w:rsid w:val="00563854"/>
    <w:rsid w:val="005638ED"/>
    <w:rsid w:val="0056786D"/>
    <w:rsid w:val="00572D16"/>
    <w:rsid w:val="005816E3"/>
    <w:rsid w:val="00581DA2"/>
    <w:rsid w:val="00591130"/>
    <w:rsid w:val="00592D4B"/>
    <w:rsid w:val="005A6CE2"/>
    <w:rsid w:val="005C29D6"/>
    <w:rsid w:val="005D2DBE"/>
    <w:rsid w:val="005D3DB1"/>
    <w:rsid w:val="005D44A8"/>
    <w:rsid w:val="005D761E"/>
    <w:rsid w:val="005F29AB"/>
    <w:rsid w:val="00604FA2"/>
    <w:rsid w:val="00613313"/>
    <w:rsid w:val="00626702"/>
    <w:rsid w:val="00627128"/>
    <w:rsid w:val="00645351"/>
    <w:rsid w:val="006477EE"/>
    <w:rsid w:val="0066787C"/>
    <w:rsid w:val="00673BE3"/>
    <w:rsid w:val="00681751"/>
    <w:rsid w:val="006856B8"/>
    <w:rsid w:val="006859C6"/>
    <w:rsid w:val="00691C62"/>
    <w:rsid w:val="00693715"/>
    <w:rsid w:val="00694BE5"/>
    <w:rsid w:val="006B2F7A"/>
    <w:rsid w:val="006B3178"/>
    <w:rsid w:val="006B5C81"/>
    <w:rsid w:val="006C168B"/>
    <w:rsid w:val="006D6833"/>
    <w:rsid w:val="006D6ABC"/>
    <w:rsid w:val="006E2C0F"/>
    <w:rsid w:val="006F09F3"/>
    <w:rsid w:val="006F12B9"/>
    <w:rsid w:val="006F1E3F"/>
    <w:rsid w:val="00702A13"/>
    <w:rsid w:val="00705105"/>
    <w:rsid w:val="007061C6"/>
    <w:rsid w:val="00707439"/>
    <w:rsid w:val="00717747"/>
    <w:rsid w:val="00722A80"/>
    <w:rsid w:val="007233DC"/>
    <w:rsid w:val="00735E16"/>
    <w:rsid w:val="00737025"/>
    <w:rsid w:val="00737485"/>
    <w:rsid w:val="00737F3D"/>
    <w:rsid w:val="00752DE8"/>
    <w:rsid w:val="00755FC3"/>
    <w:rsid w:val="007643A2"/>
    <w:rsid w:val="00764524"/>
    <w:rsid w:val="007710E8"/>
    <w:rsid w:val="00774FD2"/>
    <w:rsid w:val="00784A09"/>
    <w:rsid w:val="00792862"/>
    <w:rsid w:val="007A0BFA"/>
    <w:rsid w:val="007A7119"/>
    <w:rsid w:val="007A7D3F"/>
    <w:rsid w:val="007B1B63"/>
    <w:rsid w:val="007B254E"/>
    <w:rsid w:val="007B3030"/>
    <w:rsid w:val="007C42BA"/>
    <w:rsid w:val="007D111F"/>
    <w:rsid w:val="007D2EF1"/>
    <w:rsid w:val="007D6FC6"/>
    <w:rsid w:val="007E4515"/>
    <w:rsid w:val="00800B79"/>
    <w:rsid w:val="00800DD0"/>
    <w:rsid w:val="00804B79"/>
    <w:rsid w:val="00807E46"/>
    <w:rsid w:val="0081608E"/>
    <w:rsid w:val="0082098E"/>
    <w:rsid w:val="00822BB8"/>
    <w:rsid w:val="0082477A"/>
    <w:rsid w:val="008365EA"/>
    <w:rsid w:val="00836D53"/>
    <w:rsid w:val="0083736E"/>
    <w:rsid w:val="00853BC5"/>
    <w:rsid w:val="00857F0F"/>
    <w:rsid w:val="00871F93"/>
    <w:rsid w:val="0087444B"/>
    <w:rsid w:val="0087577E"/>
    <w:rsid w:val="00894C3D"/>
    <w:rsid w:val="00896AE0"/>
    <w:rsid w:val="008A5FC6"/>
    <w:rsid w:val="008B1C96"/>
    <w:rsid w:val="008B30B0"/>
    <w:rsid w:val="008B64DF"/>
    <w:rsid w:val="008D1B54"/>
    <w:rsid w:val="008D5425"/>
    <w:rsid w:val="008F7E98"/>
    <w:rsid w:val="00906C41"/>
    <w:rsid w:val="009106DB"/>
    <w:rsid w:val="0092761E"/>
    <w:rsid w:val="00932CEC"/>
    <w:rsid w:val="00934777"/>
    <w:rsid w:val="00936730"/>
    <w:rsid w:val="009462C4"/>
    <w:rsid w:val="00946735"/>
    <w:rsid w:val="0095691B"/>
    <w:rsid w:val="00956D82"/>
    <w:rsid w:val="009572D1"/>
    <w:rsid w:val="009675AB"/>
    <w:rsid w:val="00970604"/>
    <w:rsid w:val="009762A5"/>
    <w:rsid w:val="00976BC8"/>
    <w:rsid w:val="0098464E"/>
    <w:rsid w:val="009872BE"/>
    <w:rsid w:val="00990072"/>
    <w:rsid w:val="009A7E2D"/>
    <w:rsid w:val="009C279A"/>
    <w:rsid w:val="009C485B"/>
    <w:rsid w:val="009D49B2"/>
    <w:rsid w:val="009E11AB"/>
    <w:rsid w:val="009F6DEC"/>
    <w:rsid w:val="00A00098"/>
    <w:rsid w:val="00A03D80"/>
    <w:rsid w:val="00A144B1"/>
    <w:rsid w:val="00A17A0B"/>
    <w:rsid w:val="00A21809"/>
    <w:rsid w:val="00A3089F"/>
    <w:rsid w:val="00A35E82"/>
    <w:rsid w:val="00A45168"/>
    <w:rsid w:val="00A47641"/>
    <w:rsid w:val="00A65C5B"/>
    <w:rsid w:val="00A65FFC"/>
    <w:rsid w:val="00A665C4"/>
    <w:rsid w:val="00A81F28"/>
    <w:rsid w:val="00A84F3E"/>
    <w:rsid w:val="00A870B4"/>
    <w:rsid w:val="00A91944"/>
    <w:rsid w:val="00AA5ECD"/>
    <w:rsid w:val="00AB0AE4"/>
    <w:rsid w:val="00AB5E68"/>
    <w:rsid w:val="00AC0FEA"/>
    <w:rsid w:val="00AC3D43"/>
    <w:rsid w:val="00AD73CF"/>
    <w:rsid w:val="00AF644F"/>
    <w:rsid w:val="00AF76F7"/>
    <w:rsid w:val="00AF7A3E"/>
    <w:rsid w:val="00B1615C"/>
    <w:rsid w:val="00B215C2"/>
    <w:rsid w:val="00B2741F"/>
    <w:rsid w:val="00B311C4"/>
    <w:rsid w:val="00B41AAA"/>
    <w:rsid w:val="00B473D5"/>
    <w:rsid w:val="00B501EB"/>
    <w:rsid w:val="00B62405"/>
    <w:rsid w:val="00B6252A"/>
    <w:rsid w:val="00B66DA0"/>
    <w:rsid w:val="00B81BDB"/>
    <w:rsid w:val="00B9055D"/>
    <w:rsid w:val="00BA732B"/>
    <w:rsid w:val="00BB05A9"/>
    <w:rsid w:val="00BB0E62"/>
    <w:rsid w:val="00BD4F8C"/>
    <w:rsid w:val="00BD7B38"/>
    <w:rsid w:val="00BE20B3"/>
    <w:rsid w:val="00BE2449"/>
    <w:rsid w:val="00BF2880"/>
    <w:rsid w:val="00BF2A79"/>
    <w:rsid w:val="00C103B3"/>
    <w:rsid w:val="00C13BC6"/>
    <w:rsid w:val="00C1609D"/>
    <w:rsid w:val="00C27271"/>
    <w:rsid w:val="00C27BE2"/>
    <w:rsid w:val="00C309B8"/>
    <w:rsid w:val="00C33AA3"/>
    <w:rsid w:val="00C4059F"/>
    <w:rsid w:val="00C415BA"/>
    <w:rsid w:val="00C41D54"/>
    <w:rsid w:val="00C45233"/>
    <w:rsid w:val="00C4730C"/>
    <w:rsid w:val="00C516BE"/>
    <w:rsid w:val="00C53065"/>
    <w:rsid w:val="00C53D2E"/>
    <w:rsid w:val="00C53FCD"/>
    <w:rsid w:val="00C55D9E"/>
    <w:rsid w:val="00C65D7F"/>
    <w:rsid w:val="00C91405"/>
    <w:rsid w:val="00C94FD1"/>
    <w:rsid w:val="00CA3651"/>
    <w:rsid w:val="00CB0E1D"/>
    <w:rsid w:val="00CD31D5"/>
    <w:rsid w:val="00CD5857"/>
    <w:rsid w:val="00D07688"/>
    <w:rsid w:val="00D12369"/>
    <w:rsid w:val="00D12739"/>
    <w:rsid w:val="00D137FF"/>
    <w:rsid w:val="00D213E7"/>
    <w:rsid w:val="00D2194D"/>
    <w:rsid w:val="00D30881"/>
    <w:rsid w:val="00D3170D"/>
    <w:rsid w:val="00D355C7"/>
    <w:rsid w:val="00D422D2"/>
    <w:rsid w:val="00D43D5F"/>
    <w:rsid w:val="00D548E5"/>
    <w:rsid w:val="00D5798B"/>
    <w:rsid w:val="00D610B2"/>
    <w:rsid w:val="00D753A5"/>
    <w:rsid w:val="00D83355"/>
    <w:rsid w:val="00D86F8F"/>
    <w:rsid w:val="00D94770"/>
    <w:rsid w:val="00DC09BD"/>
    <w:rsid w:val="00DD0FB5"/>
    <w:rsid w:val="00DD5261"/>
    <w:rsid w:val="00DE3649"/>
    <w:rsid w:val="00DE3ADF"/>
    <w:rsid w:val="00DE5BAB"/>
    <w:rsid w:val="00DE7A88"/>
    <w:rsid w:val="00DF569F"/>
    <w:rsid w:val="00DF6AB9"/>
    <w:rsid w:val="00DF6D74"/>
    <w:rsid w:val="00E0527C"/>
    <w:rsid w:val="00E06603"/>
    <w:rsid w:val="00E11D51"/>
    <w:rsid w:val="00E1309A"/>
    <w:rsid w:val="00E16D79"/>
    <w:rsid w:val="00E204C5"/>
    <w:rsid w:val="00E20CEF"/>
    <w:rsid w:val="00E21715"/>
    <w:rsid w:val="00E228A4"/>
    <w:rsid w:val="00E242AC"/>
    <w:rsid w:val="00E36B5C"/>
    <w:rsid w:val="00E5152F"/>
    <w:rsid w:val="00E559E2"/>
    <w:rsid w:val="00E67194"/>
    <w:rsid w:val="00E80C26"/>
    <w:rsid w:val="00E811E9"/>
    <w:rsid w:val="00E813B3"/>
    <w:rsid w:val="00E82148"/>
    <w:rsid w:val="00E83F33"/>
    <w:rsid w:val="00E847D6"/>
    <w:rsid w:val="00E850FF"/>
    <w:rsid w:val="00E86E6D"/>
    <w:rsid w:val="00E902D2"/>
    <w:rsid w:val="00E95958"/>
    <w:rsid w:val="00EA2E52"/>
    <w:rsid w:val="00EC3191"/>
    <w:rsid w:val="00EC611F"/>
    <w:rsid w:val="00EC6D48"/>
    <w:rsid w:val="00ED2EF6"/>
    <w:rsid w:val="00ED5FE2"/>
    <w:rsid w:val="00EE46C8"/>
    <w:rsid w:val="00EE5810"/>
    <w:rsid w:val="00F103B4"/>
    <w:rsid w:val="00F13817"/>
    <w:rsid w:val="00F151F7"/>
    <w:rsid w:val="00F23611"/>
    <w:rsid w:val="00F23B85"/>
    <w:rsid w:val="00F23EB2"/>
    <w:rsid w:val="00F30981"/>
    <w:rsid w:val="00F41E60"/>
    <w:rsid w:val="00F51CE4"/>
    <w:rsid w:val="00F53C47"/>
    <w:rsid w:val="00F54A4F"/>
    <w:rsid w:val="00F55813"/>
    <w:rsid w:val="00F75D47"/>
    <w:rsid w:val="00F87F00"/>
    <w:rsid w:val="00F97401"/>
    <w:rsid w:val="00FA19D7"/>
    <w:rsid w:val="00FA25F9"/>
    <w:rsid w:val="00FA5A1F"/>
    <w:rsid w:val="00FA6FD6"/>
    <w:rsid w:val="00FB03E7"/>
    <w:rsid w:val="00FB2FC7"/>
    <w:rsid w:val="00FB3C66"/>
    <w:rsid w:val="00FC01B5"/>
    <w:rsid w:val="00FD039D"/>
    <w:rsid w:val="00FD527C"/>
    <w:rsid w:val="00FE00CB"/>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113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3" Type="http://schemas.openxmlformats.org/officeDocument/2006/relationships/settings" Target="settings.xml"/><Relationship Id="rId7" Type="http://schemas.openxmlformats.org/officeDocument/2006/relationships/hyperlink" Target="https://torgi.gov.ru/n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7421</Words>
  <Characters>42300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3</cp:revision>
  <cp:lastPrinted>2026-03-10T13:19:00Z</cp:lastPrinted>
  <dcterms:created xsi:type="dcterms:W3CDTF">2026-03-10T13:21:00Z</dcterms:created>
  <dcterms:modified xsi:type="dcterms:W3CDTF">2026-03-12T06:56:00Z</dcterms:modified>
</cp:coreProperties>
</file>